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tabs>
          <w:tab w:val="center" w:leader="none" w:pos="4513"/>
          <w:tab w:val="right" w:leader="none" w:pos="9026"/>
        </w:tabs>
        <w:spacing w:after="0" w:lineRule="auto"/>
        <w:jc w:val="left"/>
        <w:rPr>
          <w:rFonts w:ascii="Arial" w:cs="Arial" w:eastAsia="Arial" w:hAnsi="Arial"/>
          <w:sz w:val="36"/>
          <w:szCs w:val="36"/>
          <w:vertAlign w:val="baseline"/>
        </w:rPr>
      </w:pPr>
      <w:bookmarkStart w:colFirst="0" w:colLast="0" w:name="_heading=h.9a6ejlivirx1" w:id="0"/>
      <w:bookmarkEnd w:id="0"/>
      <w:r w:rsidDel="00000000" w:rsidR="00000000" w:rsidRPr="00000000">
        <w:rPr>
          <w:rFonts w:ascii="Arial" w:cs="Arial" w:eastAsia="Arial" w:hAnsi="Arial"/>
          <w:sz w:val="36"/>
          <w:szCs w:val="36"/>
          <w:vertAlign w:val="baseline"/>
          <w:rtl w:val="0"/>
        </w:rPr>
        <w:t xml:space="preserve">Call-Off Schedule 3 (Continuous Improvement) </w:t>
      </w:r>
    </w:p>
    <w:p w:rsidR="00000000" w:rsidDel="00000000" w:rsidP="00000000" w:rsidRDefault="00000000" w:rsidRPr="00000000" w14:paraId="00000002">
      <w:pPr>
        <w:pStyle w:val="Heading2"/>
        <w:numPr>
          <w:ilvl w:val="0"/>
          <w:numId w:val="1"/>
        </w:numPr>
        <w:tabs>
          <w:tab w:val="left" w:leader="none" w:pos="142"/>
        </w:tabs>
        <w:ind w:left="360"/>
        <w:rPr/>
      </w:pPr>
      <w:bookmarkStart w:colFirst="0" w:colLast="0" w:name="_heading=h.siedadxiiv1k" w:id="1"/>
      <w:bookmarkEnd w:id="1"/>
      <w:r w:rsidDel="00000000" w:rsidR="00000000" w:rsidRPr="00000000">
        <w:rPr>
          <w:rFonts w:ascii="Arial" w:cs="Arial" w:eastAsia="Arial" w:hAnsi="Arial"/>
          <w:sz w:val="24"/>
          <w:szCs w:val="24"/>
          <w:vertAlign w:val="baseline"/>
          <w:rtl w:val="0"/>
        </w:rPr>
        <w:t xml:space="preserve">Buyer’s Rights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4">
      <w:pPr>
        <w:pStyle w:val="Heading2"/>
        <w:numPr>
          <w:ilvl w:val="0"/>
          <w:numId w:val="1"/>
        </w:numPr>
        <w:tabs>
          <w:tab w:val="left" w:leader="none" w:pos="142"/>
        </w:tabs>
        <w:ind w:left="360"/>
        <w:rPr/>
      </w:pPr>
      <w:bookmarkStart w:colFirst="0" w:colLast="0" w:name="_heading=h.tymj8dhgz01u" w:id="2"/>
      <w:bookmarkEnd w:id="2"/>
      <w:r w:rsidDel="00000000" w:rsidR="00000000" w:rsidRPr="00000000">
        <w:rPr>
          <w:rFonts w:ascii="Arial" w:cs="Arial" w:eastAsia="Arial" w:hAnsi="Arial"/>
          <w:sz w:val="24"/>
          <w:szCs w:val="24"/>
          <w:vertAlign w:val="baseline"/>
          <w:rtl w:val="0"/>
        </w:rPr>
        <w:t xml:space="preserve">Supplier’s Obligations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Supplier shall use all reasonable endeavours to implement any agreed deliverables in accordance with the Continuous Improvement Plan; and</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1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2">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5">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DVUyKuCNzwHC25jspWx778gTb4A==">AMUW2mVCRj1Ygllu29OGZ0am/eGUCb+uOUcqFA37MBvLwbakOo8gnBGAftjGgRaVGiQWHyj89qWlg45AXqidaXntgy6z4fejIyYKOP7fGfXQfFbzAYdYsCt+lAAdpazz5m2gBgWvZPHu0OR8XpZzU1/Ul74v/Daj9ZMyfKvpLpJi0AY2sWZsIFV75kOKBST5/n4gRy23pHlZ0l+CrI8KLocn0yuNkEHJKmJn/CO3zK0Rz17XdfsjiReRvetFxUrTl35y88os55Hh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